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C84" w:rsidRDefault="00D71C84" w:rsidP="00D71C84">
      <w:pPr>
        <w:pStyle w:val="a3"/>
        <w:jc w:val="center"/>
        <w:rPr>
          <w:b/>
          <w:bCs/>
          <w:i/>
          <w:iCs/>
          <w:color w:val="000000"/>
          <w:sz w:val="28"/>
          <w:szCs w:val="28"/>
          <w:lang w:val="en-US"/>
        </w:rPr>
      </w:pPr>
    </w:p>
    <w:p w:rsidR="00D71C84" w:rsidRDefault="00D71C84" w:rsidP="00D71C84">
      <w:pPr>
        <w:pStyle w:val="a3"/>
        <w:jc w:val="center"/>
        <w:rPr>
          <w:b/>
          <w:bCs/>
          <w:i/>
          <w:iCs/>
          <w:color w:val="000000"/>
          <w:sz w:val="28"/>
          <w:szCs w:val="28"/>
          <w:lang w:val="en-US"/>
        </w:rPr>
      </w:pPr>
    </w:p>
    <w:p w:rsidR="00D71C84" w:rsidRPr="00D71C84" w:rsidRDefault="00D71C84" w:rsidP="00D71C84"/>
    <w:p w:rsidR="00D71C84" w:rsidRPr="00D71C84" w:rsidRDefault="00D71C84" w:rsidP="00D71C84"/>
    <w:p w:rsidR="00D71C84" w:rsidRPr="00D71C84" w:rsidRDefault="00D71C84" w:rsidP="00D71C84"/>
    <w:p w:rsidR="00D71C84" w:rsidRPr="00D71C84" w:rsidRDefault="00D71C84" w:rsidP="00D71C84"/>
    <w:p w:rsidR="00D71C84" w:rsidRPr="00D71C84" w:rsidRDefault="00D71C84" w:rsidP="00D71C84"/>
    <w:p w:rsidR="00D71C84" w:rsidRPr="00D71C84" w:rsidRDefault="00D71C84" w:rsidP="00D71C84"/>
    <w:p w:rsidR="00D71C84" w:rsidRPr="00D71C84" w:rsidRDefault="007060A1" w:rsidP="00D71C84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55pt;margin-top:13.25pt;width:341pt;height:83.35pt;z-index:-251657728" fillcolor="#b2b2b2" strokeweight="1pt">
            <v:fill opacity=".5"/>
            <v:shadow on="t" color="#99f" offset="3pt"/>
            <v:textpath style="font-family:&quot;Garamond&quot;;font-weight:bold;font-style:italic;v-text-kern:t" trim="t" fitpath="t" string="РЕФЕРАТ"/>
          </v:shape>
        </w:pict>
      </w:r>
    </w:p>
    <w:p w:rsidR="00D71C84" w:rsidRPr="00D71C84" w:rsidRDefault="00D71C84" w:rsidP="00D71C84"/>
    <w:p w:rsidR="00D71C84" w:rsidRPr="00D71C84" w:rsidRDefault="00D71C84" w:rsidP="00D71C84"/>
    <w:p w:rsidR="00D71C84" w:rsidRPr="00D71C84" w:rsidRDefault="00D71C84" w:rsidP="00D71C84"/>
    <w:p w:rsidR="00D71C84" w:rsidRPr="00D71C84" w:rsidRDefault="00D71C84" w:rsidP="00D71C84"/>
    <w:p w:rsidR="00D71C84" w:rsidRPr="00D71C84" w:rsidRDefault="00D71C84" w:rsidP="00D71C84"/>
    <w:p w:rsidR="00D71C84" w:rsidRPr="00D71C84" w:rsidRDefault="00D71C84" w:rsidP="00D71C84"/>
    <w:p w:rsidR="00D71C84" w:rsidRPr="00D71C84" w:rsidRDefault="00D71C84" w:rsidP="00D71C84"/>
    <w:p w:rsidR="00D71C84" w:rsidRPr="00D71C84" w:rsidRDefault="00D71C84" w:rsidP="00D71C84">
      <w:pPr>
        <w:pStyle w:val="a3"/>
        <w:tabs>
          <w:tab w:val="left" w:pos="3829"/>
        </w:tabs>
        <w:jc w:val="center"/>
        <w:rPr>
          <w:b/>
          <w:sz w:val="60"/>
          <w:szCs w:val="60"/>
        </w:rPr>
      </w:pPr>
      <w:r w:rsidRPr="00D71C84">
        <w:rPr>
          <w:b/>
          <w:sz w:val="60"/>
          <w:szCs w:val="60"/>
        </w:rPr>
        <w:t>По предмету: Спец курс</w:t>
      </w:r>
    </w:p>
    <w:p w:rsidR="00D71C84" w:rsidRPr="00D71C84" w:rsidRDefault="00D71C84" w:rsidP="00D71C84">
      <w:pPr>
        <w:pStyle w:val="a3"/>
        <w:tabs>
          <w:tab w:val="left" w:pos="3829"/>
        </w:tabs>
        <w:ind w:left="-720" w:right="-621"/>
        <w:jc w:val="center"/>
        <w:rPr>
          <w:b/>
          <w:sz w:val="50"/>
          <w:szCs w:val="50"/>
        </w:rPr>
      </w:pPr>
      <w:r w:rsidRPr="00D71C84">
        <w:rPr>
          <w:b/>
          <w:sz w:val="50"/>
          <w:szCs w:val="50"/>
        </w:rPr>
        <w:t>На тему: Современный мусульманский мир</w:t>
      </w:r>
    </w:p>
    <w:p w:rsidR="007060A1" w:rsidRDefault="007060A1" w:rsidP="00D71C84">
      <w:pPr>
        <w:pStyle w:val="a3"/>
        <w:jc w:val="center"/>
      </w:pPr>
    </w:p>
    <w:p w:rsidR="007060A1" w:rsidRDefault="007060A1" w:rsidP="00D71C84">
      <w:pPr>
        <w:pStyle w:val="a3"/>
        <w:jc w:val="center"/>
      </w:pPr>
    </w:p>
    <w:p w:rsidR="007060A1" w:rsidRDefault="007060A1" w:rsidP="00D71C84">
      <w:pPr>
        <w:pStyle w:val="a3"/>
        <w:jc w:val="center"/>
      </w:pPr>
    </w:p>
    <w:p w:rsidR="007060A1" w:rsidRPr="006D0E67" w:rsidRDefault="007060A1" w:rsidP="007060A1">
      <w:pPr>
        <w:pStyle w:val="a3"/>
        <w:ind w:left="4320"/>
        <w:rPr>
          <w:sz w:val="32"/>
          <w:szCs w:val="32"/>
          <w:lang w:val="en-US"/>
        </w:rPr>
      </w:pPr>
      <w:r w:rsidRPr="007060A1">
        <w:rPr>
          <w:sz w:val="32"/>
          <w:szCs w:val="32"/>
        </w:rPr>
        <w:t xml:space="preserve">Выполнила: </w:t>
      </w:r>
      <w:r w:rsidR="006D0E67">
        <w:rPr>
          <w:sz w:val="32"/>
          <w:szCs w:val="32"/>
          <w:lang w:val="en-US"/>
        </w:rPr>
        <w:t>Timchik</w:t>
      </w:r>
    </w:p>
    <w:p w:rsidR="007060A1" w:rsidRPr="007060A1" w:rsidRDefault="007060A1" w:rsidP="007060A1">
      <w:pPr>
        <w:pStyle w:val="a3"/>
        <w:ind w:left="4320"/>
        <w:rPr>
          <w:sz w:val="32"/>
          <w:szCs w:val="32"/>
        </w:rPr>
      </w:pPr>
      <w:r w:rsidRPr="007060A1">
        <w:rPr>
          <w:sz w:val="32"/>
          <w:szCs w:val="32"/>
        </w:rPr>
        <w:t>Приняла: ___________________</w:t>
      </w:r>
    </w:p>
    <w:p w:rsidR="007060A1" w:rsidRDefault="007060A1" w:rsidP="007060A1">
      <w:pPr>
        <w:pStyle w:val="a3"/>
      </w:pPr>
    </w:p>
    <w:p w:rsidR="007060A1" w:rsidRDefault="007060A1" w:rsidP="007060A1">
      <w:pPr>
        <w:pStyle w:val="a3"/>
      </w:pPr>
    </w:p>
    <w:p w:rsidR="007060A1" w:rsidRDefault="007060A1" w:rsidP="007060A1">
      <w:pPr>
        <w:pStyle w:val="a3"/>
      </w:pPr>
    </w:p>
    <w:p w:rsidR="007060A1" w:rsidRDefault="007060A1" w:rsidP="007060A1">
      <w:pPr>
        <w:pStyle w:val="a3"/>
      </w:pPr>
    </w:p>
    <w:p w:rsidR="007060A1" w:rsidRDefault="007060A1" w:rsidP="007060A1">
      <w:pPr>
        <w:pStyle w:val="a3"/>
      </w:pPr>
    </w:p>
    <w:p w:rsidR="007060A1" w:rsidRDefault="007060A1" w:rsidP="007060A1">
      <w:pPr>
        <w:pStyle w:val="a3"/>
      </w:pPr>
    </w:p>
    <w:p w:rsidR="007060A1" w:rsidRDefault="007060A1" w:rsidP="007060A1">
      <w:pPr>
        <w:pStyle w:val="a3"/>
      </w:pPr>
    </w:p>
    <w:p w:rsidR="007060A1" w:rsidRDefault="007060A1" w:rsidP="007060A1">
      <w:pPr>
        <w:pStyle w:val="a3"/>
        <w:jc w:val="center"/>
      </w:pPr>
      <w:r w:rsidRPr="007060A1">
        <w:rPr>
          <w:sz w:val="28"/>
          <w:szCs w:val="28"/>
        </w:rPr>
        <w:t>Ташкент 2005 г.</w:t>
      </w:r>
    </w:p>
    <w:p w:rsidR="00D71C84" w:rsidRPr="00D71C84" w:rsidRDefault="00D71C84" w:rsidP="007060A1">
      <w:pPr>
        <w:pStyle w:val="a3"/>
        <w:rPr>
          <w:i/>
          <w:iCs/>
          <w:color w:val="000000"/>
          <w:sz w:val="28"/>
          <w:szCs w:val="28"/>
        </w:rPr>
      </w:pPr>
      <w:r w:rsidRPr="00D71C84">
        <w:br w:type="page"/>
      </w:r>
      <w:r w:rsidRPr="00D71C84">
        <w:rPr>
          <w:i/>
          <w:iCs/>
          <w:color w:val="000000"/>
          <w:sz w:val="28"/>
          <w:szCs w:val="28"/>
        </w:rPr>
        <w:lastRenderedPageBreak/>
        <w:t>1.Исторические корни мусульманского права.</w:t>
      </w:r>
    </w:p>
    <w:p w:rsidR="00D71C84" w:rsidRPr="00D71C84" w:rsidRDefault="005B5773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1200150</wp:posOffset>
            </wp:positionV>
            <wp:extent cx="1828800" cy="1828800"/>
            <wp:effectExtent l="19050" t="0" r="0" b="0"/>
            <wp:wrapTight wrapText="bothSides">
              <wp:wrapPolygon edited="0">
                <wp:start x="-225" y="0"/>
                <wp:lineTo x="-225" y="21375"/>
                <wp:lineTo x="21600" y="21375"/>
                <wp:lineTo x="21600" y="0"/>
                <wp:lineTo x="-225" y="0"/>
              </wp:wrapPolygon>
            </wp:wrapTight>
            <wp:docPr id="3" name="Рисунок 3" descr="http://www.33podarka.ru/pictures/holiday/2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33podarka.ru/pictures/holiday/296.gif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1C84" w:rsidRPr="00D71C84">
        <w:rPr>
          <w:i/>
          <w:iCs/>
          <w:color w:val="000000"/>
          <w:sz w:val="28"/>
          <w:szCs w:val="28"/>
        </w:rPr>
        <w:t xml:space="preserve">Как система норм, выражающих в религиозной форме волю феодально-религиозной знати, санкционируемых и поддерживаемых теократическим мусульманским государством, мусульманское право в своей основе сложилось в эпоху становления феодального общества в Арабском халифате в VII-X вв. и базируется на исламе.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В соответствии с догмами ислама, действующее право пришло от Аллаха, который открыл его человеку через своего пророка Мухаммеда. Мусульманская правовая система берет свое начало в Коране и считается плодом божественных установлений, а не продуктом человеческого разума и социальных условий. Право Аллаха дано человечеству раз и навсегда, поэтому общество должно руководствоваться этим правом, а не создавать свое под влиянием тех или иных условий и обстоятельств. Правда, мусульманская правовая доктрина признает, что божественное откровение нуждается в разъяснении и толковании, на что ушли века кропотливой работы мусульманских юристов. Но эти усилия были направлены не на создание права, а лишь на то, чтобы приспособить ниспосланное Аллахом право к практическому использованию.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Закон в современном западном понимании как акт, изданный компетентной властью, не существует в мусульманском праве. Теоретически только Аллах имеет законодательную власть, а земные правители не обладают полномочиями создавать право, законодательствовать. В действительности единственным реальным источником мусульманского права служат труды древних ученых-юристов.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Мусульманское право — это единая исламская система социально-нормативного регулирования, которая включает как собственно юридические нормы, так и религиозные и нравственные постулаты, а также обычай.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В настоящее время мусульманское право в том или ином объеме действует во многих странах от западной оконечности Африки до тихоокеанских островов. По разным подсчетам, в мире проживает от 750 до 900 млн. человек, исповедующих ислам. Они составляют большинство или значительную часть населения более чем пятидесяти государств.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lastRenderedPageBreak/>
        <w:t xml:space="preserve">Коран — собрание изречений Мухаммеда, составленное через несколько лет после его смерти, первый источник мусульманского права. Он состоит главным образом из положений нравственного характера, носящих слишком общий характер, чтобы иметь точность, конкретность и определенность юридических норм. Коран учит мусульманина, например, выказывать сострадание слабым и неимущим, честно заниматься предпринимательством, не предлагать взятки судьям, уклоняться от ростовщичества и азартных игр. Однако в Коране не указывается, каковы правовые санкции за нарушение этих заветов. Содержащиеся в нем правила касаются в основном молитвенных ритуалов, поста и паломничества. Даже в тех случаях, когда Коран затрагивает проблемы права в собственном смысле, относящиеся, например, к семейным отношениям, он не предлагает единой системы общих правил, а лишь дает решение нескольких вопросов, которыми Мухаммед занимался, будучи судьей.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Вторым по значимости источником права является Сунна — собрание преданий о пророке Мухаммеде, о его бытии и поведении, своего рода итог толкования Корана в первые десятилетия после смерти пророка, отразивший политическую и религиозную борьбу вокруг его наследства.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Третьим источником мусульманского права служит так называемая “иджма” — согласованное заключение древних правоведов, знатоков ислама, об обязанностях правоверного, получившее значение юридической истины, извлеченной из Корана или Сунны.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Считается также источником мусульманского права аналогия (кияс) — правила применения к новым сходным случаям предписаний, установленных Кораном, Сунной или иджмой, причем иджма имеет куда более важное значение по сравнению с другими источниками.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Все указанные источники явились результатом деятельности многочисленных суннитских и шиитских правовых школ, оказавших огромное влияние на эволюцию мусульманского права.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Вся система норм мусульманского права, основанная на Коране, обычно называется шариатом.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Появление иджмы и кияса обусловлено двумя основными причинами. Во-первых, Коран не был полным сводом юридических норм, а Сунна, наоборот, представляла собой множество казуистических положений, которые зачастую противоречили друг другу и в которых простые мусульмане и судьи практически не могли самостоятельно разобраться. Во-вторых, в Коране и Сунне не нашли отражения новые отношения, в закреплении которых были заинтересованы господствующие слои общества [3].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lastRenderedPageBreak/>
        <w:t xml:space="preserve">Мусульманское право представляет собой яркий пример “права юристов”. Оно было создано учеными-богословами. Юридическая наука, а не государство играет роль законодателя, мнение специалиста имеет нормативно-обязательное значение. При рассмотрении дела судья никогда не обращается к Корану или Сунне. Вместо этого он ссылается на правоведа, авторитет которого общепризнан. </w:t>
      </w:r>
    </w:p>
    <w:p w:rsidR="00D71C84" w:rsidRPr="00D71C84" w:rsidRDefault="005B5773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377825</wp:posOffset>
            </wp:positionV>
            <wp:extent cx="1605280" cy="1208405"/>
            <wp:effectExtent l="19050" t="0" r="0" b="0"/>
            <wp:wrapTight wrapText="bothSides">
              <wp:wrapPolygon edited="0">
                <wp:start x="-256" y="0"/>
                <wp:lineTo x="-256" y="21112"/>
                <wp:lineTo x="21532" y="21112"/>
                <wp:lineTo x="21532" y="0"/>
                <wp:lineTo x="-256" y="0"/>
              </wp:wrapPolygon>
            </wp:wrapTight>
            <wp:docPr id="2" name="Рисунок 2" descr="http://religion.rin.ru/religion/news/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ligion.rin.ru/religion/news/71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1C84" w:rsidRPr="00D71C84">
        <w:rPr>
          <w:i/>
          <w:iCs/>
          <w:color w:val="000000"/>
          <w:sz w:val="28"/>
          <w:szCs w:val="28"/>
        </w:rPr>
        <w:t xml:space="preserve">2.Мусульманское право в современном мире.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До начала XIX в. социально-экономические условия существования мусульманского мира менялись очень медленно, поэтому шариат, несмотря на застывшую архаичность его догматов, вполне соответствовал им. Однако с упадком Османской империи на Ближнем Востоке усилилось политическое влияние западно-европейских государств. Лидеры мусульманского мира осознали, что для того, чтобы выдержать политическую и экономическую конкуренцию с западными странами, необходима модернизация государственного управления и права.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С середины XIX в. начался процесс законодательных реформ. В сферу отношений, ранее традиционно регламентировавшихся мусульманским правом, стали вторгаться нормативные источники европейского происхождения. Главным образом этот процесс затронул сферы, в которых конфликт с традиционными исламскими нормами был не слишком острым, в частности, торговое и морское право. Власти Османской империи пошли еще дальше. Была принята так называемая Маждалла (1869-1876 гг.) — закон, состоящий из 1850 статей о собственности и обязательственном праве. Этот закон открыто не порывал с правилами шариата, но они были облечены в форму параграфов в европейском стиле и введены в действие с санкции государства. Он был необходим потому, что светские суды, получившие полномочия на рассмотрение споров о собственности и обязательствах, едва ли могли опираться на средневековые мусульманские нормы.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В Британской Индии мусульманское право с течением времени так много заимствовало из общего права, что даже появилась возможность говорить об “англо-магометанском праве”.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В 1876 г. в Египте начал действовать гражданский кодекс, составленный в основном по французскому образцу. Египет перенял также в общих чертах и французский торговый кодекс. Так появилась отрасль торгового права, до того неизвестная в мусульманском праве. </w:t>
      </w:r>
      <w:r w:rsidRPr="00D71C84">
        <w:rPr>
          <w:i/>
          <w:iCs/>
          <w:color w:val="000000"/>
          <w:sz w:val="28"/>
          <w:szCs w:val="28"/>
        </w:rPr>
        <w:lastRenderedPageBreak/>
        <w:t xml:space="preserve">И в других странах Ближнего Востока за исключением Иордании, Кувейта и некоторых других государств Аравийского полуострова были приняты гражданские кодексы западного образца. Однако они не затрагивали семейного права.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Семейное и наследственное право подверглись законодательным реформам в ХХ в. Законы о семейном праве были приняты в Египте и Судане. В Турции реформа семейного и наследственного права была осуществлена в 1926 г. Порывая с традиционными мусульманскими канонами, новые законы осудили многобрачие, право одностороннего расторжения брака мужем, неравный раздел наследства между сыновьями и дочерьми покойного. Иранский гражданский кодекс, промульгированный в 1927-1935 гг., также явился кодификацией модернизированного мусульманского права в сфере семьи и наследования. Кодексы личного статуса были приняты в Сирии, Тунисе, Марокко, Египте, Иордании, Ираке и некоторых других мусульманских странах.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После второй мировой войны законы, регулирующие наследование и семейные отношения, были приняты почти во всех арабских государствах.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Проникновение европейского права в мусульманские страны весьма значительно, и этот процесс, связанный с международной интеграцией и экономическим сотрудничеством, в принципе необратим. Значение, сфера действия и удельный вес мусульманского права уменьшилось, а само право, во всяком случае по своей внешней форме, многое восприняло от европейских кодификаций. Однако отмеченную тенденцию не следует преувеличивать, особенно в свете активизации ислама, которая за последние годы характеризует политическую жизнь многих государств. Эта активизация сопровождается в том числе и требованиями отказа от западных правовых моделей, полного восстановления всех норм мусульманского права (например, в Иране).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Многие мусульманские государства заявляют в своих конституциях и законах о верности принципам ислама. Есть такие положения, в частности, в конституциях Марокко, Туниса, Сирии, Мавритании, Ирана, Пакистана.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Мусульманское уголовное право устанавливает четко определенные наказания (причем весьма суровые) за такие преступления, как убийство, прелюбодеяние, ложное обвинение в прелюбодеянии, воровство, употребление спиртных напитков, вооруженное ограбление и бунт. Наказание за остальные преступления определяет сам судья по своему усмотрению.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lastRenderedPageBreak/>
        <w:t xml:space="preserve">Принятая в 1979 г. Конституция исламской республики Иран провозглашает, что все законодательство, в том числе уголовное, должно соответствовать шариату, а суды в борьбе с преступностью обязаны применять установленные им меры наказания. В 1981 г. вступил в силу так называемый закон о киншасе, 199 статей которого повторяют положения традиционного мусульманского уголовного права (широкое применение смертной казни, наказание плетьми, избиение камнями, наказание по принципу талиона). Процесс исламизации затронул и другие страны (Пакистан, Судан, Мавритания).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 xml:space="preserve">Мусульманское судопроизводство довольно простое. Единоличный судья рассматривает дела всех категорий. Иерархия судов обычно не существует. Сегодня в некоторых странах мусульманские суды ликвидированы и заменены судами обычного судопроизводства (Турция, Египет, Тунис, Пакистан, Алжир, Марокко, Гвинея). Однако во многих арабских государствах мусульманские суды продолжают играть немалую роль в механизме регулирования общественной жизни. Как правило, к судьям предъявляются высокие квалификационные требования с точки зрения их религиозно-правовой подготовки. </w:t>
      </w:r>
    </w:p>
    <w:p w:rsidR="00D71C84" w:rsidRPr="00D71C84" w:rsidRDefault="00D71C84" w:rsidP="00D71C84">
      <w:pPr>
        <w:pStyle w:val="a3"/>
        <w:jc w:val="both"/>
        <w:rPr>
          <w:i/>
          <w:iCs/>
          <w:color w:val="000000"/>
          <w:sz w:val="28"/>
          <w:szCs w:val="28"/>
        </w:rPr>
      </w:pPr>
      <w:r w:rsidRPr="00D71C84">
        <w:rPr>
          <w:i/>
          <w:iCs/>
          <w:color w:val="000000"/>
          <w:sz w:val="28"/>
          <w:szCs w:val="28"/>
        </w:rPr>
        <w:t>Мусульманское право, несмотря на существенное влияние со стороны европейских правовых систем, все же остается самостоятельной правовой семьей, оказывающей серьезное воздействие на миллионные массы людей во всех уголках земного шара.</w:t>
      </w:r>
    </w:p>
    <w:p w:rsidR="00540BAD" w:rsidRPr="00D71C84" w:rsidRDefault="00540BAD" w:rsidP="00D71C84">
      <w:pPr>
        <w:jc w:val="both"/>
        <w:rPr>
          <w:sz w:val="28"/>
          <w:szCs w:val="28"/>
        </w:rPr>
      </w:pPr>
    </w:p>
    <w:sectPr w:rsidR="00540BAD" w:rsidRPr="00D71C84" w:rsidSect="00D71C84">
      <w:pgSz w:w="11906" w:h="16838"/>
      <w:pgMar w:top="1134" w:right="14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stylePaneFormatFilter w:val="3F01"/>
  <w:defaultTabStop w:val="708"/>
  <w:noPunctuationKerning/>
  <w:characterSpacingControl w:val="doNotCompress"/>
  <w:compat/>
  <w:rsids>
    <w:rsidRoot w:val="006F2F0E"/>
    <w:rsid w:val="00540BAD"/>
    <w:rsid w:val="005B5773"/>
    <w:rsid w:val="006D0E67"/>
    <w:rsid w:val="006F2F0E"/>
    <w:rsid w:val="007060A1"/>
    <w:rsid w:val="00D71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D71C8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09821">
          <w:marLeft w:val="1400"/>
          <w:marRight w:val="0"/>
          <w:marTop w:val="0"/>
          <w:marBottom w:val="0"/>
          <w:divBdr>
            <w:top w:val="none" w:sz="0" w:space="0" w:color="auto"/>
            <w:left w:val="single" w:sz="8" w:space="25" w:color="CCCCCC"/>
            <w:bottom w:val="none" w:sz="0" w:space="0" w:color="auto"/>
            <w:right w:val="single" w:sz="2" w:space="25" w:color="CCCCCC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religion.rin.ru/religion/news/71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http://www.33podarka.ru/pictures/holiday/296.gif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10429</CharactersWithSpaces>
  <SharedDoc>false</SharedDoc>
  <HLinks>
    <vt:vector size="12" baseType="variant">
      <vt:variant>
        <vt:i4>6750245</vt:i4>
      </vt:variant>
      <vt:variant>
        <vt:i4>-1</vt:i4>
      </vt:variant>
      <vt:variant>
        <vt:i4>1026</vt:i4>
      </vt:variant>
      <vt:variant>
        <vt:i4>1</vt:i4>
      </vt:variant>
      <vt:variant>
        <vt:lpwstr>http://religion.rin.ru/religion/news/71.jpg</vt:lpwstr>
      </vt:variant>
      <vt:variant>
        <vt:lpwstr/>
      </vt:variant>
      <vt:variant>
        <vt:i4>4325447</vt:i4>
      </vt:variant>
      <vt:variant>
        <vt:i4>-1</vt:i4>
      </vt:variant>
      <vt:variant>
        <vt:i4>1027</vt:i4>
      </vt:variant>
      <vt:variant>
        <vt:i4>1</vt:i4>
      </vt:variant>
      <vt:variant>
        <vt:lpwstr>http://www.33podarka.ru/pictures/holiday/296.gif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eXtreme</cp:lastModifiedBy>
  <cp:revision>2</cp:revision>
  <dcterms:created xsi:type="dcterms:W3CDTF">2011-05-01T16:12:00Z</dcterms:created>
  <dcterms:modified xsi:type="dcterms:W3CDTF">2011-05-01T16:12:00Z</dcterms:modified>
</cp:coreProperties>
</file>